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178A6" w14:textId="77777777" w:rsid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Практическая работа №6</w:t>
      </w:r>
    </w:p>
    <w:p w14:paraId="35BE0371" w14:textId="223C85B0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jc w:val="center"/>
        <w:outlineLvl w:val="0"/>
        <w:rPr>
          <w:sz w:val="28"/>
          <w:szCs w:val="28"/>
        </w:rPr>
      </w:pPr>
      <w:r w:rsidRPr="004B75FE">
        <w:rPr>
          <w:sz w:val="28"/>
          <w:szCs w:val="28"/>
        </w:rPr>
        <w:t>6  ОЦЕНКА И ПРОГНОЗИРОВАНИЕ ДОХОДА</w:t>
      </w:r>
    </w:p>
    <w:p w14:paraId="5596D04E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ind w:left="539"/>
        <w:jc w:val="center"/>
        <w:rPr>
          <w:b/>
          <w:sz w:val="28"/>
          <w:szCs w:val="28"/>
        </w:rPr>
      </w:pPr>
    </w:p>
    <w:p w14:paraId="15C21A67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Оценка или прогнозирование будущих доходов не является простым механическим процессом. Прогнозирование зависит от логики и анализа данных, собранных по данному объекту, а также из оценки ситуации на рынке. Доходы оцениваются исходя из выявленных рыночных трендов и планов, которые были объявлены на будущее.</w:t>
      </w:r>
    </w:p>
    <w:p w14:paraId="527BA1A1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Рассмотрим пять вопросов, связанных с приносящей доход недвижимостью. Поиск ответов на них является целью составления прогнозов по недвижимости:</w:t>
      </w:r>
    </w:p>
    <w:p w14:paraId="6BF490E0" w14:textId="77777777" w:rsidR="004B75FE" w:rsidRPr="004B75FE" w:rsidRDefault="004B75FE" w:rsidP="004B75FE">
      <w:pPr>
        <w:pStyle w:val="a3"/>
        <w:numPr>
          <w:ilvl w:val="0"/>
          <w:numId w:val="1"/>
        </w:numPr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Каким будет чистый операционный доход?</w:t>
      </w:r>
    </w:p>
    <w:p w14:paraId="2066D717" w14:textId="77777777" w:rsidR="004B75FE" w:rsidRPr="004B75FE" w:rsidRDefault="004B75FE" w:rsidP="004B75FE">
      <w:pPr>
        <w:pStyle w:val="a3"/>
        <w:numPr>
          <w:ilvl w:val="0"/>
          <w:numId w:val="1"/>
        </w:numPr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Когда будет получен доход?</w:t>
      </w:r>
    </w:p>
    <w:p w14:paraId="24564E9F" w14:textId="77777777" w:rsidR="004B75FE" w:rsidRPr="004B75FE" w:rsidRDefault="004B75FE" w:rsidP="004B75FE">
      <w:pPr>
        <w:pStyle w:val="a3"/>
        <w:numPr>
          <w:ilvl w:val="0"/>
          <w:numId w:val="1"/>
        </w:numPr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Как долго недвижимость должна приносить доход?</w:t>
      </w:r>
    </w:p>
    <w:p w14:paraId="1E12E542" w14:textId="77777777" w:rsidR="004B75FE" w:rsidRPr="004B75FE" w:rsidRDefault="004B75FE" w:rsidP="004B75FE">
      <w:pPr>
        <w:pStyle w:val="a3"/>
        <w:numPr>
          <w:ilvl w:val="0"/>
          <w:numId w:val="1"/>
        </w:numPr>
        <w:tabs>
          <w:tab w:val="clear" w:pos="900"/>
          <w:tab w:val="clear" w:pos="4677"/>
          <w:tab w:val="clear" w:pos="9355"/>
          <w:tab w:val="num" w:pos="540"/>
        </w:tabs>
        <w:spacing w:line="360" w:lineRule="auto"/>
        <w:ind w:left="540" w:firstLine="0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Какой ожидается чистая выручка от продажи имущества по истечении периода владения?</w:t>
      </w:r>
    </w:p>
    <w:p w14:paraId="55F1D0FE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outlineLvl w:val="0"/>
        <w:rPr>
          <w:b/>
          <w:sz w:val="28"/>
          <w:szCs w:val="28"/>
        </w:rPr>
      </w:pPr>
    </w:p>
    <w:p w14:paraId="38EB8D12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outlineLvl w:val="0"/>
        <w:rPr>
          <w:sz w:val="28"/>
          <w:szCs w:val="28"/>
        </w:rPr>
      </w:pPr>
      <w:r w:rsidRPr="004B75FE">
        <w:rPr>
          <w:sz w:val="28"/>
          <w:szCs w:val="28"/>
        </w:rPr>
        <w:t>Задачи</w:t>
      </w:r>
    </w:p>
    <w:p w14:paraId="3F8FBB7D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1) Аналитику была предоставлена следующая информация. В жилом комплексе насчитывается пятьдесят квартир с двумя спальнями. Месячная ставка арендной платы по каждой из квартир составляет 400 у.е. Все арендные договоры заключаются на один год. При подписании договора каждый из арендаторов в качестве подарка получает телевизор. Цена последнего равна 100 у.е. Среднегодовая оборачиваемость квартир составляет 40 %. Период времени, необходимый в среднем для того, чтобы новый арендатор занял пустующую квартиру, равен 2 месяцам. Кроме того, безнадежные долги оцениваются в половину от 1 % задолженности по арендной плате. Вознаграждение управляющему составляет 5 000 у.е. в год, для проживания в данном комплексе ему бесплатно предоставляется </w:t>
      </w:r>
    </w:p>
    <w:p w14:paraId="08187CFC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</w:p>
    <w:p w14:paraId="2E7F8978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квартира. Дополнительно каждый год он получает 4 000 у.е. за заполнение деклараций о подоходном налоге для арендаторов. Постоянные расходы по комплексу равны 50 000 у.е., переменные – 2 000 у.е. на каждую занятую квартиру в год. В резерв на замещение отчисляется 3 % действительного валового дохода. Заполните следующий отчет о прибыли:</w:t>
      </w:r>
    </w:p>
    <w:p w14:paraId="6DC983BA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а) Потенциальный валовой доход.</w:t>
      </w:r>
    </w:p>
    <w:p w14:paraId="66CF6D2E" w14:textId="77777777" w:rsidR="004B75FE" w:rsidRPr="004B75FE" w:rsidRDefault="004B75FE" w:rsidP="004B75FE">
      <w:pPr>
        <w:pStyle w:val="a3"/>
        <w:tabs>
          <w:tab w:val="clear" w:pos="4677"/>
          <w:tab w:val="clear" w:pos="9355"/>
          <w:tab w:val="left" w:pos="900"/>
        </w:tabs>
        <w:spacing w:line="360" w:lineRule="auto"/>
        <w:ind w:firstLine="540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б) Минус - поправка на уровень загрузки и безнадежные долги.</w:t>
      </w:r>
    </w:p>
    <w:p w14:paraId="3E9C6C3B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в) Плюс - прочий доход.</w:t>
      </w:r>
    </w:p>
    <w:p w14:paraId="11F0EA34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г) Действительный валовой доход.</w:t>
      </w:r>
    </w:p>
    <w:p w14:paraId="62558D67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д) Минус - текущие операционные доходы.</w:t>
      </w:r>
    </w:p>
    <w:p w14:paraId="071E9152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е) Минус - резерв на замещение.</w:t>
      </w:r>
    </w:p>
    <w:p w14:paraId="3AB9B5A8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ж) Чистый операционный доход.</w:t>
      </w:r>
    </w:p>
    <w:p w14:paraId="017AB0B9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</w:p>
    <w:p w14:paraId="5ADA4FA5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Сопоставимый объект</w:t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>Общая цена</w:t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>Количество мест</w:t>
      </w:r>
    </w:p>
    <w:p w14:paraId="042E4DC1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>А</w:t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 xml:space="preserve">  230 000</w:t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>450</w:t>
      </w:r>
    </w:p>
    <w:p w14:paraId="7F6997C3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>Б</w:t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 xml:space="preserve">  275 000</w:t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>550</w:t>
      </w:r>
    </w:p>
    <w:p w14:paraId="10F00BF4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  <w:szCs w:val="28"/>
        </w:rPr>
      </w:pP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 xml:space="preserve">В </w:t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 xml:space="preserve">  195 000</w:t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</w:r>
      <w:r w:rsidRPr="004B75FE">
        <w:rPr>
          <w:sz w:val="28"/>
          <w:szCs w:val="28"/>
        </w:rPr>
        <w:tab/>
        <w:t>375</w:t>
      </w:r>
    </w:p>
    <w:p w14:paraId="640749B5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Оцените рыночную стоимость на основе данной информации.</w:t>
      </w:r>
    </w:p>
    <w:p w14:paraId="06A39C32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40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2) Вы собрали следующие данные: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980"/>
        <w:gridCol w:w="1620"/>
        <w:gridCol w:w="1620"/>
        <w:gridCol w:w="1620"/>
      </w:tblGrid>
      <w:tr w:rsidR="004B75FE" w:rsidRPr="004B75FE" w14:paraId="6CC903C4" w14:textId="77777777" w:rsidTr="00812888">
        <w:trPr>
          <w:cantSplit/>
          <w:trHeight w:val="349"/>
        </w:trPr>
        <w:tc>
          <w:tcPr>
            <w:tcW w:w="2268" w:type="dxa"/>
            <w:vMerge w:val="restart"/>
            <w:vAlign w:val="center"/>
          </w:tcPr>
          <w:p w14:paraId="4DABCBCE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  <w:tab w:val="left" w:pos="0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Характеристика</w:t>
            </w:r>
          </w:p>
        </w:tc>
        <w:tc>
          <w:tcPr>
            <w:tcW w:w="1980" w:type="dxa"/>
            <w:vMerge w:val="restart"/>
            <w:vAlign w:val="center"/>
          </w:tcPr>
          <w:p w14:paraId="52B68D07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ind w:left="-288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 xml:space="preserve">   Оцениваемый</w:t>
            </w:r>
          </w:p>
          <w:p w14:paraId="404D34A9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ind w:left="-288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объект</w:t>
            </w:r>
          </w:p>
        </w:tc>
        <w:tc>
          <w:tcPr>
            <w:tcW w:w="4860" w:type="dxa"/>
            <w:gridSpan w:val="3"/>
            <w:vAlign w:val="center"/>
          </w:tcPr>
          <w:p w14:paraId="6CEA1F8B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Сопоставимые</w:t>
            </w:r>
          </w:p>
        </w:tc>
      </w:tr>
      <w:tr w:rsidR="004B75FE" w:rsidRPr="004B75FE" w14:paraId="117A8A32" w14:textId="77777777" w:rsidTr="00812888">
        <w:trPr>
          <w:cantSplit/>
          <w:trHeight w:val="450"/>
        </w:trPr>
        <w:tc>
          <w:tcPr>
            <w:tcW w:w="2268" w:type="dxa"/>
            <w:vMerge/>
            <w:vAlign w:val="center"/>
          </w:tcPr>
          <w:p w14:paraId="76A2622C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14:paraId="4E9D2872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ind w:left="-288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7E257DFE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  <w:vAlign w:val="center"/>
          </w:tcPr>
          <w:p w14:paraId="7F5F7EA4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2</w:t>
            </w:r>
          </w:p>
        </w:tc>
        <w:tc>
          <w:tcPr>
            <w:tcW w:w="1620" w:type="dxa"/>
            <w:vAlign w:val="center"/>
          </w:tcPr>
          <w:p w14:paraId="0D8A6612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3</w:t>
            </w:r>
          </w:p>
        </w:tc>
      </w:tr>
      <w:tr w:rsidR="004B75FE" w:rsidRPr="004B75FE" w14:paraId="2520AA3A" w14:textId="77777777" w:rsidTr="00812888">
        <w:trPr>
          <w:trHeight w:val="241"/>
        </w:trPr>
        <w:tc>
          <w:tcPr>
            <w:tcW w:w="2268" w:type="dxa"/>
          </w:tcPr>
          <w:p w14:paraId="251468D9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Цена, у.е.</w:t>
            </w:r>
          </w:p>
        </w:tc>
        <w:tc>
          <w:tcPr>
            <w:tcW w:w="1980" w:type="dxa"/>
          </w:tcPr>
          <w:p w14:paraId="1B0707A7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?</w:t>
            </w:r>
          </w:p>
        </w:tc>
        <w:tc>
          <w:tcPr>
            <w:tcW w:w="1620" w:type="dxa"/>
          </w:tcPr>
          <w:p w14:paraId="77BD5BB2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5 800 000</w:t>
            </w:r>
          </w:p>
        </w:tc>
        <w:tc>
          <w:tcPr>
            <w:tcW w:w="1620" w:type="dxa"/>
          </w:tcPr>
          <w:p w14:paraId="3673A730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860 000</w:t>
            </w:r>
          </w:p>
        </w:tc>
        <w:tc>
          <w:tcPr>
            <w:tcW w:w="1620" w:type="dxa"/>
          </w:tcPr>
          <w:p w14:paraId="0DE1A918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660 000</w:t>
            </w:r>
          </w:p>
        </w:tc>
      </w:tr>
      <w:tr w:rsidR="004B75FE" w:rsidRPr="004B75FE" w14:paraId="0C6D27C4" w14:textId="77777777" w:rsidTr="00812888">
        <w:trPr>
          <w:trHeight w:val="483"/>
        </w:trPr>
        <w:tc>
          <w:tcPr>
            <w:tcW w:w="2268" w:type="dxa"/>
          </w:tcPr>
          <w:p w14:paraId="712F48DC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ind w:right="-288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Число комнат</w:t>
            </w:r>
          </w:p>
        </w:tc>
        <w:tc>
          <w:tcPr>
            <w:tcW w:w="1980" w:type="dxa"/>
          </w:tcPr>
          <w:p w14:paraId="3E0B1F4D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135</w:t>
            </w:r>
          </w:p>
        </w:tc>
        <w:tc>
          <w:tcPr>
            <w:tcW w:w="1620" w:type="dxa"/>
          </w:tcPr>
          <w:p w14:paraId="4BBC9EB8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165</w:t>
            </w:r>
          </w:p>
        </w:tc>
        <w:tc>
          <w:tcPr>
            <w:tcW w:w="1620" w:type="dxa"/>
          </w:tcPr>
          <w:p w14:paraId="1E21D934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170</w:t>
            </w:r>
          </w:p>
        </w:tc>
        <w:tc>
          <w:tcPr>
            <w:tcW w:w="1620" w:type="dxa"/>
          </w:tcPr>
          <w:p w14:paraId="139669FF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125</w:t>
            </w:r>
          </w:p>
        </w:tc>
      </w:tr>
      <w:tr w:rsidR="004B75FE" w:rsidRPr="004B75FE" w14:paraId="227D04E5" w14:textId="77777777" w:rsidTr="00812888">
        <w:trPr>
          <w:trHeight w:val="352"/>
        </w:trPr>
        <w:tc>
          <w:tcPr>
            <w:tcW w:w="2268" w:type="dxa"/>
          </w:tcPr>
          <w:p w14:paraId="529B52A8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Число квартир</w:t>
            </w:r>
          </w:p>
        </w:tc>
        <w:tc>
          <w:tcPr>
            <w:tcW w:w="1980" w:type="dxa"/>
          </w:tcPr>
          <w:p w14:paraId="2BBEE9AC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44</w:t>
            </w:r>
          </w:p>
        </w:tc>
        <w:tc>
          <w:tcPr>
            <w:tcW w:w="1620" w:type="dxa"/>
          </w:tcPr>
          <w:p w14:paraId="561741E0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50</w:t>
            </w:r>
          </w:p>
        </w:tc>
        <w:tc>
          <w:tcPr>
            <w:tcW w:w="1620" w:type="dxa"/>
          </w:tcPr>
          <w:p w14:paraId="554718C6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49</w:t>
            </w:r>
          </w:p>
        </w:tc>
        <w:tc>
          <w:tcPr>
            <w:tcW w:w="1620" w:type="dxa"/>
          </w:tcPr>
          <w:p w14:paraId="238E3B13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40</w:t>
            </w:r>
          </w:p>
        </w:tc>
      </w:tr>
      <w:tr w:rsidR="004B75FE" w:rsidRPr="004B75FE" w14:paraId="0AF6B856" w14:textId="77777777" w:rsidTr="00812888">
        <w:trPr>
          <w:trHeight w:val="248"/>
        </w:trPr>
        <w:tc>
          <w:tcPr>
            <w:tcW w:w="2268" w:type="dxa"/>
          </w:tcPr>
          <w:p w14:paraId="3131997D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Бассейн</w:t>
            </w:r>
          </w:p>
        </w:tc>
        <w:tc>
          <w:tcPr>
            <w:tcW w:w="1980" w:type="dxa"/>
          </w:tcPr>
          <w:p w14:paraId="56DA1126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есть</w:t>
            </w:r>
          </w:p>
        </w:tc>
        <w:tc>
          <w:tcPr>
            <w:tcW w:w="1620" w:type="dxa"/>
          </w:tcPr>
          <w:p w14:paraId="06D0B640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нет</w:t>
            </w:r>
          </w:p>
        </w:tc>
        <w:tc>
          <w:tcPr>
            <w:tcW w:w="1620" w:type="dxa"/>
          </w:tcPr>
          <w:p w14:paraId="0FEC67C1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есть</w:t>
            </w:r>
          </w:p>
        </w:tc>
        <w:tc>
          <w:tcPr>
            <w:tcW w:w="1620" w:type="dxa"/>
          </w:tcPr>
          <w:p w14:paraId="7B551AEC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Нет</w:t>
            </w:r>
          </w:p>
        </w:tc>
      </w:tr>
      <w:tr w:rsidR="004B75FE" w:rsidRPr="004B75FE" w14:paraId="1C07E608" w14:textId="77777777" w:rsidTr="00812888">
        <w:trPr>
          <w:trHeight w:val="310"/>
        </w:trPr>
        <w:tc>
          <w:tcPr>
            <w:tcW w:w="2268" w:type="dxa"/>
            <w:vAlign w:val="bottom"/>
          </w:tcPr>
          <w:p w14:paraId="360A8499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Валовой доход</w:t>
            </w:r>
          </w:p>
        </w:tc>
        <w:tc>
          <w:tcPr>
            <w:tcW w:w="1980" w:type="dxa"/>
            <w:vAlign w:val="bottom"/>
          </w:tcPr>
          <w:p w14:paraId="4C8DB4C1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150 000</w:t>
            </w:r>
          </w:p>
        </w:tc>
        <w:tc>
          <w:tcPr>
            <w:tcW w:w="1620" w:type="dxa"/>
            <w:vAlign w:val="bottom"/>
          </w:tcPr>
          <w:p w14:paraId="735C1B6A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160 000</w:t>
            </w:r>
          </w:p>
        </w:tc>
        <w:tc>
          <w:tcPr>
            <w:tcW w:w="1620" w:type="dxa"/>
            <w:vAlign w:val="bottom"/>
          </w:tcPr>
          <w:p w14:paraId="2F94A067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168 000</w:t>
            </w:r>
          </w:p>
        </w:tc>
        <w:tc>
          <w:tcPr>
            <w:tcW w:w="1620" w:type="dxa"/>
            <w:vAlign w:val="bottom"/>
          </w:tcPr>
          <w:p w14:paraId="73DA62A9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136 000</w:t>
            </w:r>
          </w:p>
        </w:tc>
      </w:tr>
    </w:tbl>
    <w:p w14:paraId="76108576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Стоимость бассейна – 160 000 у.е.</w:t>
      </w:r>
    </w:p>
    <w:p w14:paraId="72DD07C9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rPr>
          <w:sz w:val="28"/>
          <w:szCs w:val="28"/>
        </w:rPr>
      </w:pPr>
    </w:p>
    <w:p w14:paraId="2480970B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rPr>
          <w:sz w:val="28"/>
          <w:szCs w:val="28"/>
        </w:rPr>
      </w:pPr>
    </w:p>
    <w:p w14:paraId="742F3F8F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rPr>
          <w:sz w:val="28"/>
          <w:szCs w:val="28"/>
        </w:rPr>
      </w:pPr>
      <w:r w:rsidRPr="004B75FE">
        <w:rPr>
          <w:sz w:val="28"/>
          <w:szCs w:val="28"/>
        </w:rPr>
        <w:t xml:space="preserve">Оцените стоимость объекта исходя из стоимости комнат, квартир и на основе </w:t>
      </w:r>
      <w:r w:rsidRPr="004B75FE">
        <w:rPr>
          <w:sz w:val="28"/>
          <w:szCs w:val="28"/>
          <w:lang w:val="en-US"/>
        </w:rPr>
        <w:t>CRM</w:t>
      </w:r>
      <w:r w:rsidRPr="004B75FE">
        <w:rPr>
          <w:sz w:val="28"/>
          <w:szCs w:val="28"/>
        </w:rPr>
        <w:t>. Дайте конечную оценку и кратко обоснуйте свой вывод.</w:t>
      </w:r>
    </w:p>
    <w:p w14:paraId="53A6447D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3) Вы получили следующую финансовую информацию о трех сопоставимых офисных зданиях. Данная информация была подтверждена.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2015"/>
        <w:gridCol w:w="2322"/>
        <w:gridCol w:w="2143"/>
      </w:tblGrid>
      <w:tr w:rsidR="004B75FE" w:rsidRPr="004B75FE" w14:paraId="432F3DA9" w14:textId="77777777" w:rsidTr="00812888">
        <w:trPr>
          <w:trHeight w:val="598"/>
        </w:trPr>
        <w:tc>
          <w:tcPr>
            <w:tcW w:w="2808" w:type="dxa"/>
            <w:vAlign w:val="bottom"/>
          </w:tcPr>
          <w:p w14:paraId="2C9E4CD9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Продажная цена</w:t>
            </w:r>
          </w:p>
        </w:tc>
        <w:tc>
          <w:tcPr>
            <w:tcW w:w="2015" w:type="dxa"/>
            <w:vAlign w:val="bottom"/>
          </w:tcPr>
          <w:p w14:paraId="4FF6E7B7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1 000 000</w:t>
            </w:r>
          </w:p>
        </w:tc>
        <w:tc>
          <w:tcPr>
            <w:tcW w:w="2322" w:type="dxa"/>
            <w:vAlign w:val="bottom"/>
          </w:tcPr>
          <w:p w14:paraId="4E242AE0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1 200 000</w:t>
            </w:r>
          </w:p>
        </w:tc>
        <w:tc>
          <w:tcPr>
            <w:tcW w:w="2143" w:type="dxa"/>
            <w:vAlign w:val="bottom"/>
          </w:tcPr>
          <w:p w14:paraId="5C8DB395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900 000</w:t>
            </w:r>
          </w:p>
        </w:tc>
      </w:tr>
      <w:tr w:rsidR="004B75FE" w:rsidRPr="004B75FE" w14:paraId="00B7C663" w14:textId="77777777" w:rsidTr="00812888">
        <w:trPr>
          <w:trHeight w:val="733"/>
        </w:trPr>
        <w:tc>
          <w:tcPr>
            <w:tcW w:w="2808" w:type="dxa"/>
            <w:vAlign w:val="center"/>
          </w:tcPr>
          <w:p w14:paraId="065D50C5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Потенциальный</w:t>
            </w:r>
          </w:p>
          <w:p w14:paraId="44F036E9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валовой доход</w:t>
            </w:r>
          </w:p>
        </w:tc>
        <w:tc>
          <w:tcPr>
            <w:tcW w:w="2015" w:type="dxa"/>
            <w:vAlign w:val="center"/>
          </w:tcPr>
          <w:p w14:paraId="4E775BF7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200 000</w:t>
            </w:r>
          </w:p>
        </w:tc>
        <w:tc>
          <w:tcPr>
            <w:tcW w:w="2322" w:type="dxa"/>
            <w:vAlign w:val="center"/>
          </w:tcPr>
          <w:p w14:paraId="540FEBF8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300 000</w:t>
            </w:r>
          </w:p>
        </w:tc>
        <w:tc>
          <w:tcPr>
            <w:tcW w:w="2143" w:type="dxa"/>
            <w:vAlign w:val="center"/>
          </w:tcPr>
          <w:p w14:paraId="01DC6FC0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185 000</w:t>
            </w:r>
          </w:p>
        </w:tc>
      </w:tr>
      <w:tr w:rsidR="004B75FE" w:rsidRPr="004B75FE" w14:paraId="6C427569" w14:textId="77777777" w:rsidTr="00812888">
        <w:trPr>
          <w:trHeight w:val="85"/>
        </w:trPr>
        <w:tc>
          <w:tcPr>
            <w:tcW w:w="2808" w:type="dxa"/>
            <w:vAlign w:val="center"/>
          </w:tcPr>
          <w:p w14:paraId="254268D5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 xml:space="preserve">Не занятость и </w:t>
            </w:r>
          </w:p>
          <w:p w14:paraId="7FBC8BEF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 xml:space="preserve">безнадежные долги </w:t>
            </w:r>
          </w:p>
        </w:tc>
        <w:tc>
          <w:tcPr>
            <w:tcW w:w="2015" w:type="dxa"/>
            <w:vAlign w:val="center"/>
          </w:tcPr>
          <w:p w14:paraId="7F5157B4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10 000</w:t>
            </w:r>
          </w:p>
        </w:tc>
        <w:tc>
          <w:tcPr>
            <w:tcW w:w="2322" w:type="dxa"/>
            <w:vAlign w:val="center"/>
          </w:tcPr>
          <w:p w14:paraId="6E9E90FE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30 000</w:t>
            </w:r>
          </w:p>
        </w:tc>
        <w:tc>
          <w:tcPr>
            <w:tcW w:w="2143" w:type="dxa"/>
            <w:vAlign w:val="center"/>
          </w:tcPr>
          <w:p w14:paraId="542D632C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9 000</w:t>
            </w:r>
          </w:p>
        </w:tc>
      </w:tr>
      <w:tr w:rsidR="004B75FE" w:rsidRPr="004B75FE" w14:paraId="1FF97D8A" w14:textId="77777777" w:rsidTr="00812888">
        <w:tc>
          <w:tcPr>
            <w:tcW w:w="2808" w:type="dxa"/>
            <w:vAlign w:val="center"/>
          </w:tcPr>
          <w:p w14:paraId="4C9F2299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 xml:space="preserve">Действительный </w:t>
            </w:r>
          </w:p>
          <w:p w14:paraId="0FFF1F54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валовой доход</w:t>
            </w:r>
          </w:p>
        </w:tc>
        <w:tc>
          <w:tcPr>
            <w:tcW w:w="2015" w:type="dxa"/>
            <w:vAlign w:val="center"/>
          </w:tcPr>
          <w:p w14:paraId="49618187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190 000</w:t>
            </w:r>
          </w:p>
        </w:tc>
        <w:tc>
          <w:tcPr>
            <w:tcW w:w="2322" w:type="dxa"/>
            <w:vAlign w:val="center"/>
          </w:tcPr>
          <w:p w14:paraId="3CB2F1BC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270 000</w:t>
            </w:r>
          </w:p>
        </w:tc>
        <w:tc>
          <w:tcPr>
            <w:tcW w:w="2143" w:type="dxa"/>
            <w:vAlign w:val="center"/>
          </w:tcPr>
          <w:p w14:paraId="37F07D08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176 000</w:t>
            </w:r>
          </w:p>
        </w:tc>
      </w:tr>
      <w:tr w:rsidR="004B75FE" w:rsidRPr="004B75FE" w14:paraId="5B83C7F6" w14:textId="77777777" w:rsidTr="00812888">
        <w:tc>
          <w:tcPr>
            <w:tcW w:w="2808" w:type="dxa"/>
            <w:vAlign w:val="center"/>
          </w:tcPr>
          <w:p w14:paraId="4151E49C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 xml:space="preserve">Операционные </w:t>
            </w:r>
          </w:p>
          <w:p w14:paraId="7DBC0777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расходы</w:t>
            </w:r>
          </w:p>
        </w:tc>
        <w:tc>
          <w:tcPr>
            <w:tcW w:w="2015" w:type="dxa"/>
            <w:vAlign w:val="center"/>
          </w:tcPr>
          <w:p w14:paraId="3177556B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90 000</w:t>
            </w:r>
          </w:p>
        </w:tc>
        <w:tc>
          <w:tcPr>
            <w:tcW w:w="2322" w:type="dxa"/>
            <w:vAlign w:val="center"/>
          </w:tcPr>
          <w:p w14:paraId="4A14C702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153 000</w:t>
            </w:r>
          </w:p>
        </w:tc>
        <w:tc>
          <w:tcPr>
            <w:tcW w:w="2143" w:type="dxa"/>
            <w:vAlign w:val="center"/>
          </w:tcPr>
          <w:p w14:paraId="1A23691A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85 000</w:t>
            </w:r>
          </w:p>
        </w:tc>
      </w:tr>
      <w:tr w:rsidR="004B75FE" w:rsidRPr="004B75FE" w14:paraId="2B05BCC6" w14:textId="77777777" w:rsidTr="00812888">
        <w:tc>
          <w:tcPr>
            <w:tcW w:w="2808" w:type="dxa"/>
            <w:vAlign w:val="center"/>
          </w:tcPr>
          <w:p w14:paraId="699B0713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 xml:space="preserve">Чистый </w:t>
            </w:r>
          </w:p>
          <w:p w14:paraId="7B6B5484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операционный доход</w:t>
            </w:r>
          </w:p>
        </w:tc>
        <w:tc>
          <w:tcPr>
            <w:tcW w:w="2015" w:type="dxa"/>
            <w:vAlign w:val="center"/>
          </w:tcPr>
          <w:p w14:paraId="5F964C61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1 000 000</w:t>
            </w:r>
          </w:p>
        </w:tc>
        <w:tc>
          <w:tcPr>
            <w:tcW w:w="2322" w:type="dxa"/>
            <w:vAlign w:val="center"/>
          </w:tcPr>
          <w:p w14:paraId="23FD0BF8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117 000</w:t>
            </w:r>
          </w:p>
        </w:tc>
        <w:tc>
          <w:tcPr>
            <w:tcW w:w="2143" w:type="dxa"/>
            <w:vAlign w:val="center"/>
          </w:tcPr>
          <w:p w14:paraId="3DC0DDB2" w14:textId="77777777" w:rsidR="004B75FE" w:rsidRPr="004B75FE" w:rsidRDefault="004B75FE" w:rsidP="00812888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4B75FE">
              <w:rPr>
                <w:sz w:val="28"/>
                <w:szCs w:val="28"/>
              </w:rPr>
              <w:t>91 000</w:t>
            </w:r>
          </w:p>
        </w:tc>
      </w:tr>
    </w:tbl>
    <w:p w14:paraId="1627B9DF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</w:p>
    <w:p w14:paraId="0D124D7F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Установленный рыночный арендный доход вашего оцениваемого объекта составляет 800 у.е./кв.м. Чистая площадь, которая может быть сдана в аренду, составляет 20 000 кв.м. Норма не занятости и безнадежных долгов оценена в 5 %. Отношение операционных расходов к потенциальному валовому доходу равно 45 %. Определите стоимость объекта при помощи: (1) </w:t>
      </w:r>
      <w:r w:rsidRPr="004B75FE">
        <w:rPr>
          <w:sz w:val="28"/>
          <w:szCs w:val="28"/>
          <w:lang w:val="en-US"/>
        </w:rPr>
        <w:t>CRM</w:t>
      </w:r>
      <w:r w:rsidRPr="004B75FE">
        <w:rPr>
          <w:sz w:val="28"/>
          <w:szCs w:val="28"/>
        </w:rPr>
        <w:t xml:space="preserve"> и (2) </w:t>
      </w:r>
      <w:r w:rsidRPr="004B75FE">
        <w:rPr>
          <w:sz w:val="28"/>
          <w:szCs w:val="28"/>
          <w:lang w:val="en-US"/>
        </w:rPr>
        <w:t>OAR</w:t>
      </w:r>
      <w:r w:rsidRPr="004B75FE">
        <w:rPr>
          <w:sz w:val="28"/>
          <w:szCs w:val="28"/>
        </w:rPr>
        <w:t>. Какая оценка стоимости представляется вам более надежной? Почему?</w:t>
      </w:r>
    </w:p>
    <w:p w14:paraId="1233BE6E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b/>
          <w:sz w:val="28"/>
          <w:szCs w:val="28"/>
        </w:rPr>
      </w:pPr>
    </w:p>
    <w:p w14:paraId="3E7D7510" w14:textId="77777777" w:rsidR="00692283" w:rsidRPr="00853AA3" w:rsidRDefault="00692283" w:rsidP="00692283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outlineLvl w:val="0"/>
        <w:rPr>
          <w:sz w:val="28"/>
        </w:rPr>
      </w:pPr>
      <w:r>
        <w:rPr>
          <w:sz w:val="28"/>
        </w:rPr>
        <w:t>Контрольные вопросы:</w:t>
      </w:r>
    </w:p>
    <w:p w14:paraId="0CF074D3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1)  Дайте определение следующих терминов:</w:t>
      </w:r>
    </w:p>
    <w:p w14:paraId="7FBE753A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а) Коэффициент ипотечной задолженности.</w:t>
      </w:r>
    </w:p>
    <w:p w14:paraId="48A42336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lastRenderedPageBreak/>
        <w:t xml:space="preserve">     б) Субординация.</w:t>
      </w:r>
    </w:p>
    <w:p w14:paraId="5BE7B33F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</w:p>
    <w:p w14:paraId="62D44F8D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в) Техника остатка.</w:t>
      </w:r>
    </w:p>
    <w:p w14:paraId="05FCC1FF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г) “Младшее”  право удержания имущества за долги.</w:t>
      </w:r>
    </w:p>
    <w:p w14:paraId="4CAB0B15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 xml:space="preserve">     д) Ипотечно-инвестиционный анализ. </w:t>
      </w:r>
    </w:p>
    <w:p w14:paraId="58D50E5A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2) Объясните каждый из трех этапов реализации права собственности на недвижимость.</w:t>
      </w:r>
    </w:p>
    <w:p w14:paraId="009477DA" w14:textId="77777777" w:rsidR="004B75FE" w:rsidRPr="004B75FE" w:rsidRDefault="004B75FE" w:rsidP="004B75FE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  <w:szCs w:val="28"/>
        </w:rPr>
      </w:pPr>
      <w:r w:rsidRPr="004B75FE">
        <w:rPr>
          <w:sz w:val="28"/>
          <w:szCs w:val="28"/>
        </w:rPr>
        <w:t>3) Объясните основные финансовые условия, отличные от тех, которые определяют сумму периодического платежа по обслуживанию долга.</w:t>
      </w:r>
    </w:p>
    <w:p w14:paraId="42A66C71" w14:textId="5AC6A1E9" w:rsidR="00F24D12" w:rsidRPr="004B75FE" w:rsidRDefault="004B75FE" w:rsidP="004B75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B75FE">
        <w:rPr>
          <w:rFonts w:ascii="Times New Roman" w:hAnsi="Times New Roman" w:cs="Times New Roman"/>
          <w:sz w:val="28"/>
          <w:szCs w:val="28"/>
          <w:lang w:val="ru-RU"/>
        </w:rPr>
        <w:t>4) Почему в случаях, когда продавцы финансируют реализуемое ими имущество, они могут рассчитывать на получение более высокой цены?</w:t>
      </w:r>
    </w:p>
    <w:sectPr w:rsidR="00F24D12" w:rsidRPr="004B75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45A71"/>
    <w:multiLevelType w:val="hybridMultilevel"/>
    <w:tmpl w:val="5B568E8A"/>
    <w:lvl w:ilvl="0" w:tplc="FFFFFFFF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88F"/>
    <w:rsid w:val="004B75FE"/>
    <w:rsid w:val="00692283"/>
    <w:rsid w:val="009B288F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1318F"/>
  <w15:chartTrackingRefBased/>
  <w15:docId w15:val="{C2B46F39-1359-4360-90B8-D44899226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B75F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4B75FE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617</Words>
  <Characters>3522</Characters>
  <Application>Microsoft Office Word</Application>
  <DocSecurity>0</DocSecurity>
  <Lines>29</Lines>
  <Paragraphs>8</Paragraphs>
  <ScaleCrop>false</ScaleCrop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2020-08-16T13:14:00Z</dcterms:created>
  <dcterms:modified xsi:type="dcterms:W3CDTF">2020-11-28T09:11:00Z</dcterms:modified>
</cp:coreProperties>
</file>